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075" w:type="dxa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0"/>
        <w:gridCol w:w="1439"/>
        <w:gridCol w:w="4794"/>
        <w:gridCol w:w="463"/>
        <w:gridCol w:w="487"/>
        <w:gridCol w:w="1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产品名称</w:t>
            </w:r>
          </w:p>
        </w:tc>
        <w:tc>
          <w:tcPr>
            <w:tcW w:w="47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48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用途及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简要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技术要求</w:t>
            </w:r>
          </w:p>
        </w:tc>
        <w:tc>
          <w:tcPr>
            <w:tcW w:w="4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数量</w:t>
            </w:r>
          </w:p>
        </w:tc>
        <w:tc>
          <w:tcPr>
            <w:tcW w:w="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11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合同履行日期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红外热成像气体泄漏检测仪</w:t>
            </w:r>
          </w:p>
        </w:tc>
        <w:tc>
          <w:tcPr>
            <w:tcW w:w="47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气体红外检漏仪采用红外光谱吸收原理，可远距离、大范围快速筛查石化装置的泄漏，并能够准确直观地定位泄漏位置，并以成像方式呈现;红外热成像气体泄漏检测仪主机1台:防爆手机或平板 1个;专用鲤电池 3 块;专用电源适配器和充电底座 1套;数据传输线1套:TF 卡两张，单卡容量为 128G (读取速度不低于200MB，写入速度不低于 90MB);读卡器1个;镜头清洁工具套装1套:三脚架 1个:防护箱 1个:便携包1个;肩带1套;</w:t>
            </w:r>
          </w:p>
        </w:tc>
        <w:tc>
          <w:tcPr>
            <w:tcW w:w="4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部</w:t>
            </w:r>
          </w:p>
        </w:tc>
        <w:tc>
          <w:tcPr>
            <w:tcW w:w="1112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合同签订后30日内供货且安装调试完毕，并通过验收、投入正常使用。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</w:trPr>
        <w:tc>
          <w:tcPr>
            <w:tcW w:w="7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便携式氢火焰离子化检测仪（FID）(防爆)</w:t>
            </w:r>
          </w:p>
        </w:tc>
        <w:tc>
          <w:tcPr>
            <w:tcW w:w="47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便携式总烃分析仪采用防爆设计，符合《HJ 733-2014泄漏和敞开液面排放的挥发性有机物检测技术导则》等标准，为用户提供存在于潜在危害性环境中的 VOCs 的可靠测量。采用氢火焰离子化检测器 (FID)，对几乎所有的VOCs 均有响应。主机 1台，标准探头1个、采样针 1个、充电装置(套)1套、便携箱 1个、内置电池1块、内置蓝牙模块1套、过滤膜 1包、手持终端控制器 1部、充气套件1 套、专用背包1个(防静电、带探头孔及透气孔)</w:t>
            </w:r>
          </w:p>
        </w:tc>
        <w:tc>
          <w:tcPr>
            <w:tcW w:w="4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台</w:t>
            </w:r>
          </w:p>
        </w:tc>
        <w:tc>
          <w:tcPr>
            <w:tcW w:w="11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5" w:hRule="atLeast"/>
        </w:trPr>
        <w:tc>
          <w:tcPr>
            <w:tcW w:w="7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多参数气体检测仪</w:t>
            </w:r>
          </w:p>
        </w:tc>
        <w:tc>
          <w:tcPr>
            <w:tcW w:w="47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符合《环境空气 氯气等有毒有害气体的应急监测 电化学传感器法》 (HJ872-2017) 应急情况下采用定性和半定量监测有毒有害气体。便携式主机 2台，便携打印机 2个电源适配器2套，使用说明书2套，笔记本2台</w:t>
            </w:r>
          </w:p>
        </w:tc>
        <w:tc>
          <w:tcPr>
            <w:tcW w:w="4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部</w:t>
            </w:r>
          </w:p>
        </w:tc>
        <w:tc>
          <w:tcPr>
            <w:tcW w:w="11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</w:trPr>
        <w:tc>
          <w:tcPr>
            <w:tcW w:w="7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油气回收三项检测仪</w:t>
            </w:r>
          </w:p>
        </w:tc>
        <w:tc>
          <w:tcPr>
            <w:tcW w:w="47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vertAlign w:val="baseline"/>
                <w:lang w:val="en-US" w:eastAsia="zh-CN"/>
              </w:rPr>
              <w:t>用于加油站油气回收系统气液比、密闭性和液阻的测量，需符合以下标准要求：GB 20952-2020 加油站大气污染物排放标准；主机 2 台，电源适配器 2 套，手操器 2 台，蓝牙打印机 2 台，工具箱（含连接附件）2 套，油桶 2 个，升降车 2 个。</w:t>
            </w:r>
          </w:p>
        </w:tc>
        <w:tc>
          <w:tcPr>
            <w:tcW w:w="46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4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部</w:t>
            </w:r>
          </w:p>
        </w:tc>
        <w:tc>
          <w:tcPr>
            <w:tcW w:w="1112" w:type="dxa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ZWVjYWFkYjBhMzRjYmExYmI1YWIyYTAyMWI0ZmQifQ=="/>
  </w:docVars>
  <w:rsids>
    <w:rsidRoot w:val="64F0093A"/>
    <w:rsid w:val="64F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widowControl/>
      <w:spacing w:line="240" w:lineRule="auto"/>
      <w:ind w:firstLine="420" w:firstLineChars="100"/>
    </w:pPr>
    <w:rPr>
      <w:rFonts w:ascii="Times New Roman" w:hAnsi="Times New Roman"/>
      <w:sz w:val="22"/>
      <w:lang w:eastAsia="en-US" w:bidi="en-US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  <w:rPr>
      <w:rFonts w:ascii="Calibri" w:hAnsi="Calibri"/>
    </w:rPr>
  </w:style>
  <w:style w:type="paragraph" w:styleId="4">
    <w:name w:val="Body Text 2"/>
    <w:basedOn w:val="1"/>
    <w:next w:val="3"/>
    <w:qFormat/>
    <w:uiPriority w:val="0"/>
    <w:pPr>
      <w:spacing w:line="360" w:lineRule="auto"/>
      <w:ind w:firstLine="360" w:firstLineChars="0"/>
    </w:pPr>
    <w:rPr>
      <w:rFonts w:eastAsia="宋体"/>
      <w:sz w:val="24"/>
      <w:lang w:eastAsia="en-US" w:bidi="en-US"/>
    </w:rPr>
  </w:style>
  <w:style w:type="paragraph" w:styleId="5">
    <w:name w:val="Body Text First Indent 2"/>
    <w:basedOn w:val="6"/>
    <w:next w:val="1"/>
    <w:qFormat/>
    <w:uiPriority w:val="0"/>
    <w:pPr>
      <w:ind w:firstLine="420" w:firstLineChars="200"/>
    </w:pPr>
  </w:style>
  <w:style w:type="paragraph" w:styleId="6">
    <w:name w:val="Body Text Indent"/>
    <w:basedOn w:val="1"/>
    <w:next w:val="1"/>
    <w:qFormat/>
    <w:uiPriority w:val="0"/>
    <w:pPr>
      <w:widowControl/>
      <w:spacing w:after="120" w:line="240" w:lineRule="auto"/>
      <w:ind w:left="420" w:leftChars="200" w:firstLine="360" w:firstLineChars="0"/>
    </w:pPr>
    <w:rPr>
      <w:rFonts w:eastAsia="宋体"/>
      <w:kern w:val="0"/>
      <w:sz w:val="22"/>
      <w:lang w:eastAsia="en-US" w:bidi="en-US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2023-07-26T02:50:00Z</dcterms:created>
  <dc:creator>Administrator</dc:creator>
  <cp:lastModifiedBy>Administrator</cp:lastModifiedBy>
  <dcterms:modified xsi:type="dcterms:W3CDTF">2023-07-26T02:50:55Z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03938498498A40C6A8D14EB785091A6A_11</vt:lpwstr>
  </property>
</Properties>
</file>